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5AF2B" w14:textId="77777777" w:rsidR="00FB164E" w:rsidRDefault="00FB164E" w:rsidP="00FB164E">
      <w:pPr>
        <w:pStyle w:val="BodyText"/>
        <w:spacing w:line="276" w:lineRule="auto"/>
        <w:jc w:val="both"/>
      </w:pPr>
    </w:p>
    <w:p w14:paraId="7A8DF0BD" w14:textId="77777777" w:rsidR="00FB164E" w:rsidRDefault="00FB164E" w:rsidP="00FB164E">
      <w:pPr>
        <w:pStyle w:val="BodyText"/>
        <w:spacing w:before="7"/>
        <w:ind w:left="0"/>
        <w:jc w:val="both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251659264" behindDoc="1" locked="0" layoutInCell="1" allowOverlap="1" wp14:anchorId="18C2F520" wp14:editId="0A4280DB">
            <wp:simplePos x="0" y="0"/>
            <wp:positionH relativeFrom="page">
              <wp:posOffset>1024127</wp:posOffset>
            </wp:positionH>
            <wp:positionV relativeFrom="paragraph">
              <wp:posOffset>151706</wp:posOffset>
            </wp:positionV>
            <wp:extent cx="5096256" cy="390144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256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5986FC" w14:textId="77777777" w:rsidR="00FB164E" w:rsidRDefault="00FB164E" w:rsidP="00FB164E">
      <w:pPr>
        <w:pStyle w:val="BodyText"/>
        <w:spacing w:before="263"/>
        <w:ind w:left="0"/>
        <w:jc w:val="both"/>
      </w:pPr>
    </w:p>
    <w:p w14:paraId="6E7D61BF" w14:textId="29BE82DF" w:rsidR="00136221" w:rsidRDefault="00FB164E" w:rsidP="00FB164E">
      <w:pPr>
        <w:pStyle w:val="BodyText"/>
        <w:spacing w:before="199" w:line="276" w:lineRule="auto"/>
        <w:ind w:right="309"/>
        <w:jc w:val="both"/>
      </w:pPr>
      <w:r>
        <w:rPr>
          <w:b/>
        </w:rPr>
        <w:t>Figure</w:t>
      </w:r>
      <w:r>
        <w:rPr>
          <w:b/>
          <w:spacing w:val="-5"/>
        </w:rPr>
        <w:t xml:space="preserve"> </w:t>
      </w:r>
      <w:r>
        <w:rPr>
          <w:b/>
        </w:rPr>
        <w:t>02:</w:t>
      </w:r>
      <w:r>
        <w:rPr>
          <w:b/>
          <w:spacing w:val="-3"/>
        </w:rPr>
        <w:t xml:space="preserve"> </w:t>
      </w:r>
      <w:r>
        <w:t>Node</w:t>
      </w:r>
      <w:r>
        <w:rPr>
          <w:spacing w:val="-5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corresponds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folios</w:t>
      </w:r>
      <w:r>
        <w:rPr>
          <w:spacing w:val="-3"/>
        </w:rPr>
        <w:t xml:space="preserve"> </w:t>
      </w:r>
      <w:r>
        <w:t>held,</w:t>
      </w:r>
      <w:r>
        <w:rPr>
          <w:spacing w:val="-3"/>
        </w:rPr>
        <w:t xml:space="preserve"> </w:t>
      </w:r>
      <w:r>
        <w:t>visually</w:t>
      </w:r>
      <w:r>
        <w:rPr>
          <w:spacing w:val="-7"/>
        </w:rPr>
        <w:t xml:space="preserve"> </w:t>
      </w:r>
      <w:r>
        <w:t>emphasizing</w:t>
      </w:r>
      <w:r>
        <w:rPr>
          <w:spacing w:val="-5"/>
        </w:rPr>
        <w:t xml:space="preserve"> </w:t>
      </w:r>
      <w:r>
        <w:t>major</w:t>
      </w:r>
      <w:r>
        <w:rPr>
          <w:spacing w:val="-3"/>
        </w:rPr>
        <w:t xml:space="preserve"> </w:t>
      </w:r>
      <w:r>
        <w:t>collecting hubs such as the Persian Imperial Library and the Berlin State Library. Directional edges trace documented and inferred transfers, with an “Unknown Dealer/Collector” node representing uncertain intermediaries in the pathway</w:t>
      </w:r>
      <w:r>
        <w:rPr>
          <w:spacing w:val="-3"/>
        </w:rPr>
        <w:t xml:space="preserve"> </w:t>
      </w:r>
      <w:r>
        <w:t>from the Persian Imperial Library</w:t>
      </w:r>
      <w:r>
        <w:rPr>
          <w:spacing w:val="-3"/>
        </w:rPr>
        <w:t xml:space="preserve"> </w:t>
      </w:r>
      <w:r>
        <w:t xml:space="preserve">to figures like John </w:t>
      </w:r>
      <w:proofErr w:type="spellStart"/>
      <w:r>
        <w:t>Goelet</w:t>
      </w:r>
      <w:proofErr w:type="spellEnd"/>
      <w:r>
        <w:t xml:space="preserve"> and </w:t>
      </w:r>
      <w:proofErr w:type="spellStart"/>
      <w:r>
        <w:t>Nasli</w:t>
      </w:r>
      <w:proofErr w:type="spellEnd"/>
      <w:r>
        <w:t xml:space="preserve"> and Alice </w:t>
      </w:r>
      <w:proofErr w:type="spellStart"/>
      <w:r>
        <w:t>Heermaneck</w:t>
      </w:r>
      <w:proofErr w:type="spellEnd"/>
      <w:r>
        <w:t>. This visualization highlights the fragmented and multi-scalar nature of manuscript circulation across time and space. This refined network underscores the importance of digital</w:t>
      </w:r>
      <w:r>
        <w:rPr>
          <w:spacing w:val="-1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modeling</w:t>
      </w:r>
      <w:r>
        <w:rPr>
          <w:spacing w:val="-4"/>
        </w:rPr>
        <w:t xml:space="preserve"> </w:t>
      </w:r>
      <w:r>
        <w:t>in tracing</w:t>
      </w:r>
      <w:r>
        <w:rPr>
          <w:spacing w:val="-4"/>
        </w:rPr>
        <w:t xml:space="preserve"> </w:t>
      </w:r>
      <w:r>
        <w:t>fragmented</w:t>
      </w:r>
      <w:r>
        <w:rPr>
          <w:spacing w:val="-2"/>
        </w:rPr>
        <w:t xml:space="preserve"> </w:t>
      </w:r>
      <w:r>
        <w:t>manuscript</w:t>
      </w:r>
      <w:r>
        <w:rPr>
          <w:spacing w:val="-2"/>
        </w:rPr>
        <w:t xml:space="preserve"> </w:t>
      </w:r>
      <w:r>
        <w:t>histories. It also</w:t>
      </w:r>
      <w:r>
        <w:rPr>
          <w:spacing w:val="-2"/>
        </w:rPr>
        <w:t xml:space="preserve"> </w:t>
      </w:r>
      <w:r>
        <w:t>foregrounds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interpretive labor required to account for gaps in documentation, especially when addressing manuscripts that changed hands in informal or colonial-era markets.</w:t>
      </w:r>
      <w:r w:rsidR="00136221">
        <w:br/>
      </w:r>
      <w:bookmarkStart w:id="0" w:name="_GoBack"/>
      <w:bookmarkEnd w:id="0"/>
      <w:r w:rsidR="00136221">
        <w:br/>
      </w:r>
    </w:p>
    <w:p w14:paraId="0BC214B2" w14:textId="507CC7F4" w:rsidR="00F51F7A" w:rsidRPr="00136221" w:rsidRDefault="00F51F7A" w:rsidP="00136221"/>
    <w:sectPr w:rsidR="00F51F7A" w:rsidRPr="00136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9"/>
    <w:rsid w:val="00136221"/>
    <w:rsid w:val="001872B5"/>
    <w:rsid w:val="005150C3"/>
    <w:rsid w:val="005D0BD2"/>
    <w:rsid w:val="00667358"/>
    <w:rsid w:val="00671312"/>
    <w:rsid w:val="00754483"/>
    <w:rsid w:val="00815979"/>
    <w:rsid w:val="00B04AC9"/>
    <w:rsid w:val="00F51F7A"/>
    <w:rsid w:val="00FB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E597"/>
  <w15:chartTrackingRefBased/>
  <w15:docId w15:val="{FBD53E7C-45A1-49D0-A9EE-0E9EC839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15979"/>
    <w:pPr>
      <w:widowControl w:val="0"/>
      <w:autoSpaceDE w:val="0"/>
      <w:autoSpaceDN w:val="0"/>
      <w:spacing w:after="0" w:line="240" w:lineRule="auto"/>
      <w:ind w:left="135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597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597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D0BD2"/>
    <w:pPr>
      <w:widowControl w:val="0"/>
      <w:autoSpaceDE w:val="0"/>
      <w:autoSpaceDN w:val="0"/>
      <w:spacing w:after="0" w:line="240" w:lineRule="auto"/>
      <w:ind w:left="13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0BD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22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2025-06-10T09:02:00Z</dcterms:created>
  <dcterms:modified xsi:type="dcterms:W3CDTF">2025-06-10T09:04:00Z</dcterms:modified>
</cp:coreProperties>
</file>